
<file path=[Content_Types].xml><?xml version="1.0" encoding="utf-8"?>
<Types xmlns="http://schemas.openxmlformats.org/package/2006/content-types">
  <Default Extension="vsd" ContentType="application/vnd.visio"/>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E0996" w:rsidRDefault="00DE0996" w:rsidP="00DE0996">
      <w:pPr>
        <w:pageBreakBefore/>
        <w:ind w:firstLine="720"/>
        <w:jc w:val="center"/>
        <w:rPr>
          <w:caps/>
          <w:sz w:val="28"/>
          <w:szCs w:val="28"/>
        </w:rPr>
      </w:pPr>
      <w:r>
        <w:rPr>
          <w:caps/>
          <w:sz w:val="28"/>
          <w:szCs w:val="28"/>
        </w:rPr>
        <w:t>15 Защиты СБОРНЫХ ШИН</w:t>
      </w:r>
    </w:p>
    <w:p w:rsidR="00DE0996" w:rsidRDefault="00DE0996" w:rsidP="00DE0996">
      <w:pPr>
        <w:ind w:firstLine="720"/>
        <w:jc w:val="both"/>
        <w:rPr>
          <w:sz w:val="28"/>
          <w:szCs w:val="28"/>
        </w:rPr>
      </w:pPr>
    </w:p>
    <w:p w:rsidR="00DE0996" w:rsidRDefault="00DE0996" w:rsidP="00DE0996">
      <w:pPr>
        <w:ind w:firstLine="720"/>
        <w:jc w:val="both"/>
        <w:rPr>
          <w:sz w:val="28"/>
          <w:szCs w:val="28"/>
        </w:rPr>
      </w:pPr>
    </w:p>
    <w:p w:rsidR="00DE0996" w:rsidRDefault="00DE0996" w:rsidP="00DE0996">
      <w:pPr>
        <w:ind w:firstLine="720"/>
        <w:jc w:val="both"/>
        <w:rPr>
          <w:sz w:val="28"/>
          <w:szCs w:val="28"/>
        </w:rPr>
      </w:pPr>
      <w:r>
        <w:rPr>
          <w:sz w:val="28"/>
          <w:szCs w:val="28"/>
        </w:rPr>
        <w:t>Короткие замыкания на сборных шинах электростанций, подстанций защищаются резервными защитами генераторов, трансформаторов, линий – максимальными токовыми и дистанционными защитами. Но эти защиты при коротких замыканиях на шинах действуют с выдержкой времени. А для сохранения устойчивости энергосистемы короткие замыкания на сборных шинах требуется отключить мгновенно и обеспечить селективность, чего не обеспечивают резервные защиты других элементов энергосистемы.</w:t>
      </w:r>
    </w:p>
    <w:p w:rsidR="00DE0996" w:rsidRDefault="00DE0996" w:rsidP="00DE0996">
      <w:pPr>
        <w:ind w:firstLine="720"/>
        <w:jc w:val="both"/>
        <w:rPr>
          <w:sz w:val="28"/>
          <w:szCs w:val="28"/>
        </w:rPr>
      </w:pPr>
    </w:p>
    <w:p w:rsidR="00DE0996" w:rsidRPr="00FD7777" w:rsidRDefault="00DE0996" w:rsidP="00DE0996">
      <w:pPr>
        <w:ind w:firstLine="720"/>
        <w:jc w:val="center"/>
        <w:rPr>
          <w:b/>
          <w:sz w:val="28"/>
          <w:szCs w:val="28"/>
        </w:rPr>
      </w:pPr>
      <w:r>
        <w:object w:dxaOrig="6362" w:dyaOrig="31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8pt;height:159.75pt" o:ole="">
            <v:imagedata r:id="rId4" o:title=""/>
          </v:shape>
          <o:OLEObject Type="Embed" ProgID="Visio.Drawing.11" ShapeID="_x0000_i1025" DrawAspect="Content" ObjectID="_1704903703" r:id="rId5"/>
        </w:object>
      </w:r>
    </w:p>
    <w:p w:rsidR="00DE0996" w:rsidRDefault="00DE0996" w:rsidP="00DE0996">
      <w:pPr>
        <w:ind w:firstLine="720"/>
        <w:jc w:val="center"/>
        <w:rPr>
          <w:sz w:val="28"/>
          <w:szCs w:val="28"/>
        </w:rPr>
      </w:pPr>
    </w:p>
    <w:p w:rsidR="00DE0996" w:rsidRDefault="00DE0996" w:rsidP="00DE0996">
      <w:pPr>
        <w:ind w:firstLine="720"/>
        <w:jc w:val="center"/>
        <w:rPr>
          <w:sz w:val="28"/>
          <w:szCs w:val="28"/>
        </w:rPr>
      </w:pPr>
      <w:r>
        <w:rPr>
          <w:sz w:val="28"/>
          <w:szCs w:val="28"/>
        </w:rPr>
        <w:t>Рисунок 38 – Схема подстанции с двумя выключателями на присоединение</w:t>
      </w:r>
    </w:p>
    <w:p w:rsidR="00DE0996" w:rsidRDefault="00DE0996" w:rsidP="00DE0996">
      <w:pPr>
        <w:ind w:firstLine="720"/>
        <w:jc w:val="both"/>
        <w:rPr>
          <w:sz w:val="28"/>
          <w:szCs w:val="28"/>
        </w:rPr>
      </w:pPr>
    </w:p>
    <w:p w:rsidR="00DE0996" w:rsidRDefault="00DE0996" w:rsidP="00DE0996">
      <w:pPr>
        <w:ind w:firstLine="720"/>
        <w:jc w:val="both"/>
        <w:rPr>
          <w:sz w:val="28"/>
          <w:szCs w:val="28"/>
        </w:rPr>
      </w:pPr>
      <w:r>
        <w:rPr>
          <w:sz w:val="28"/>
          <w:szCs w:val="28"/>
        </w:rPr>
        <w:t>Например, при коротком замыкании на второй секции сборных шин подстанции (в точке К, рисунок 38) защиты линий Кз1 и Кз2 отключают с выдержками времени второй ступени токовой или дистанционной защит все выключатели линий (</w:t>
      </w:r>
      <w:r>
        <w:rPr>
          <w:sz w:val="28"/>
          <w:szCs w:val="28"/>
          <w:lang w:val="en-US"/>
        </w:rPr>
        <w:t>Q</w:t>
      </w:r>
      <w:r>
        <w:rPr>
          <w:sz w:val="28"/>
          <w:szCs w:val="28"/>
        </w:rPr>
        <w:t>1-</w:t>
      </w:r>
      <w:r>
        <w:rPr>
          <w:sz w:val="28"/>
          <w:szCs w:val="28"/>
          <w:lang w:val="en-US"/>
        </w:rPr>
        <w:t>Q</w:t>
      </w:r>
      <w:r>
        <w:rPr>
          <w:sz w:val="28"/>
          <w:szCs w:val="28"/>
        </w:rPr>
        <w:t>3-</w:t>
      </w:r>
      <w:r>
        <w:rPr>
          <w:sz w:val="28"/>
          <w:szCs w:val="28"/>
          <w:lang w:val="en-US"/>
        </w:rPr>
        <w:t>Q</w:t>
      </w:r>
      <w:r>
        <w:rPr>
          <w:sz w:val="28"/>
          <w:szCs w:val="28"/>
        </w:rPr>
        <w:t>5 и</w:t>
      </w:r>
      <w:r w:rsidRPr="00BC4D60">
        <w:rPr>
          <w:sz w:val="28"/>
          <w:szCs w:val="28"/>
        </w:rPr>
        <w:t xml:space="preserve"> </w:t>
      </w:r>
      <w:r>
        <w:rPr>
          <w:sz w:val="28"/>
          <w:szCs w:val="28"/>
          <w:lang w:val="en-US"/>
        </w:rPr>
        <w:t>Q</w:t>
      </w:r>
      <w:r>
        <w:rPr>
          <w:sz w:val="28"/>
          <w:szCs w:val="28"/>
        </w:rPr>
        <w:t>2-</w:t>
      </w:r>
      <w:r>
        <w:rPr>
          <w:sz w:val="28"/>
          <w:szCs w:val="28"/>
          <w:lang w:val="en-US"/>
        </w:rPr>
        <w:t>Q</w:t>
      </w:r>
      <w:r>
        <w:rPr>
          <w:sz w:val="28"/>
          <w:szCs w:val="28"/>
        </w:rPr>
        <w:t>4-</w:t>
      </w:r>
      <w:r>
        <w:rPr>
          <w:sz w:val="28"/>
          <w:szCs w:val="28"/>
          <w:lang w:val="en-US"/>
        </w:rPr>
        <w:t>Q</w:t>
      </w:r>
      <w:r>
        <w:rPr>
          <w:sz w:val="28"/>
          <w:szCs w:val="28"/>
        </w:rPr>
        <w:t>6), т.е. отключают неповрежденную секцию сборных шин и подстанция полностью теряет питание от энергосистемы.</w:t>
      </w:r>
    </w:p>
    <w:p w:rsidR="00DE0996" w:rsidRDefault="00DE0996" w:rsidP="00DE0996">
      <w:pPr>
        <w:ind w:firstLine="720"/>
        <w:jc w:val="both"/>
        <w:rPr>
          <w:sz w:val="28"/>
          <w:szCs w:val="28"/>
        </w:rPr>
      </w:pPr>
      <w:r>
        <w:rPr>
          <w:sz w:val="28"/>
          <w:szCs w:val="28"/>
        </w:rPr>
        <w:t>Селективность специальной защиты сборных шин должна обеспечивать селективное отключение только поврежденной второй секции шин (СШ2).</w:t>
      </w:r>
    </w:p>
    <w:p w:rsidR="00DE0996" w:rsidRDefault="00DE0996" w:rsidP="00DE0996">
      <w:pPr>
        <w:ind w:firstLine="720"/>
        <w:jc w:val="both"/>
        <w:rPr>
          <w:sz w:val="28"/>
          <w:szCs w:val="28"/>
        </w:rPr>
      </w:pPr>
    </w:p>
    <w:p w:rsidR="00DE0996" w:rsidRDefault="00DE0996" w:rsidP="00DE0996">
      <w:pPr>
        <w:ind w:firstLine="720"/>
        <w:jc w:val="both"/>
        <w:rPr>
          <w:i/>
          <w:sz w:val="28"/>
          <w:szCs w:val="28"/>
        </w:rPr>
      </w:pPr>
      <w:r>
        <w:rPr>
          <w:i/>
          <w:sz w:val="28"/>
          <w:szCs w:val="28"/>
        </w:rPr>
        <w:t>Дифференциальная защита шин.</w:t>
      </w:r>
    </w:p>
    <w:p w:rsidR="00DE0996" w:rsidRDefault="00DE0996" w:rsidP="00DE0996">
      <w:pPr>
        <w:ind w:firstLine="720"/>
        <w:jc w:val="both"/>
        <w:rPr>
          <w:sz w:val="28"/>
          <w:szCs w:val="28"/>
        </w:rPr>
      </w:pPr>
      <w:r>
        <w:rPr>
          <w:sz w:val="28"/>
          <w:szCs w:val="28"/>
        </w:rPr>
        <w:t>Принцип действия дифференциальной защиты шин (ДЗШ) аналогичен дифференциальной защите линий, трансформаторов, генераторов, двигателей.</w:t>
      </w:r>
    </w:p>
    <w:p w:rsidR="00DE0996" w:rsidRDefault="00DE0996" w:rsidP="00DE0996">
      <w:pPr>
        <w:ind w:firstLine="720"/>
        <w:jc w:val="both"/>
        <w:rPr>
          <w:sz w:val="28"/>
          <w:szCs w:val="28"/>
        </w:rPr>
      </w:pPr>
      <w:r>
        <w:rPr>
          <w:sz w:val="28"/>
          <w:szCs w:val="28"/>
        </w:rPr>
        <w:t>Рассмотрим схему изображенную на рисунке 39.  На всех присоединениях подстанции (линиях) установлены трансформаторы тока с одинаковым коэффициентом трансформации и соединены между собой на сумму токов, т.е. параллельно. В нормальном режиме или внешнем коротком замыкании (</w:t>
      </w:r>
      <w:proofErr w:type="spellStart"/>
      <w:r>
        <w:rPr>
          <w:sz w:val="28"/>
          <w:szCs w:val="28"/>
        </w:rPr>
        <w:t>к.з</w:t>
      </w:r>
      <w:proofErr w:type="spellEnd"/>
      <w:r>
        <w:rPr>
          <w:sz w:val="28"/>
          <w:szCs w:val="28"/>
        </w:rPr>
        <w:t xml:space="preserve">. в точке К) токи короткого замыкания протекают в точку </w:t>
      </w:r>
      <w:proofErr w:type="spellStart"/>
      <w:proofErr w:type="gramStart"/>
      <w:r>
        <w:rPr>
          <w:sz w:val="28"/>
          <w:szCs w:val="28"/>
        </w:rPr>
        <w:t>к.з</w:t>
      </w:r>
      <w:proofErr w:type="spellEnd"/>
      <w:r>
        <w:rPr>
          <w:sz w:val="28"/>
          <w:szCs w:val="28"/>
        </w:rPr>
        <w:t>..</w:t>
      </w:r>
      <w:proofErr w:type="gramEnd"/>
      <w:r>
        <w:rPr>
          <w:sz w:val="28"/>
          <w:szCs w:val="28"/>
        </w:rPr>
        <w:t xml:space="preserve"> Ток в первой линии течет в сторону линии, а в остальных линиях в сторону шин. Из первого закона Кирхгофа для электрической цепи мы знаем, что </w:t>
      </w:r>
      <w:r>
        <w:rPr>
          <w:sz w:val="28"/>
          <w:szCs w:val="28"/>
        </w:rPr>
        <w:lastRenderedPageBreak/>
        <w:t xml:space="preserve">сумма втекающих токов равна сумме вытекающих, поэтому ток </w:t>
      </w:r>
      <w:r>
        <w:rPr>
          <w:sz w:val="28"/>
          <w:szCs w:val="28"/>
          <w:lang w:val="en-US"/>
        </w:rPr>
        <w:t>I</w:t>
      </w:r>
      <w:r>
        <w:rPr>
          <w:sz w:val="28"/>
          <w:szCs w:val="28"/>
        </w:rPr>
        <w:t xml:space="preserve">1 равен сумме трех других токов </w:t>
      </w:r>
      <w:r>
        <w:rPr>
          <w:sz w:val="28"/>
          <w:szCs w:val="28"/>
          <w:lang w:val="en-US"/>
        </w:rPr>
        <w:t>I</w:t>
      </w:r>
      <w:r>
        <w:rPr>
          <w:sz w:val="28"/>
          <w:szCs w:val="28"/>
        </w:rPr>
        <w:t>2-4:</w:t>
      </w:r>
    </w:p>
    <w:tbl>
      <w:tblPr>
        <w:tblW w:w="9360" w:type="dxa"/>
        <w:tblInd w:w="108" w:type="dxa"/>
        <w:tblLook w:val="01E0" w:firstRow="1" w:lastRow="1" w:firstColumn="1" w:lastColumn="1" w:noHBand="0" w:noVBand="0"/>
      </w:tblPr>
      <w:tblGrid>
        <w:gridCol w:w="8280"/>
        <w:gridCol w:w="1080"/>
      </w:tblGrid>
      <w:tr w:rsidR="00DE0996" w:rsidRPr="00336891" w:rsidTr="00F12D65">
        <w:tc>
          <w:tcPr>
            <w:tcW w:w="8280" w:type="dxa"/>
            <w:vAlign w:val="center"/>
          </w:tcPr>
          <w:p w:rsidR="00DE0996" w:rsidRPr="00336891" w:rsidRDefault="00DE0996" w:rsidP="00F12D65">
            <w:pPr>
              <w:overflowPunct w:val="0"/>
              <w:autoSpaceDE w:val="0"/>
              <w:autoSpaceDN w:val="0"/>
              <w:adjustRightInd w:val="0"/>
              <w:ind w:firstLine="720"/>
              <w:jc w:val="center"/>
              <w:textAlignment w:val="baseline"/>
              <w:rPr>
                <w:sz w:val="28"/>
                <w:szCs w:val="28"/>
              </w:rPr>
            </w:pPr>
            <w:r w:rsidRPr="00336891">
              <w:rPr>
                <w:position w:val="-20"/>
                <w:sz w:val="28"/>
                <w:szCs w:val="28"/>
              </w:rPr>
              <w:object w:dxaOrig="1780" w:dyaOrig="440">
                <v:shape id="_x0000_i1026" type="#_x0000_t75" style="width:89.25pt;height:21.75pt" o:ole="">
                  <v:imagedata r:id="rId6" o:title=""/>
                </v:shape>
                <o:OLEObject Type="Embed" ProgID="Equation.3" ShapeID="_x0000_i1026" DrawAspect="Content" ObjectID="_1704903704" r:id="rId7"/>
              </w:object>
            </w:r>
          </w:p>
        </w:tc>
        <w:tc>
          <w:tcPr>
            <w:tcW w:w="1080" w:type="dxa"/>
            <w:vAlign w:val="center"/>
          </w:tcPr>
          <w:p w:rsidR="00DE0996" w:rsidRPr="00336891" w:rsidRDefault="00DE0996" w:rsidP="00F12D65">
            <w:pPr>
              <w:overflowPunct w:val="0"/>
              <w:autoSpaceDE w:val="0"/>
              <w:autoSpaceDN w:val="0"/>
              <w:adjustRightInd w:val="0"/>
              <w:ind w:firstLine="2"/>
              <w:jc w:val="right"/>
              <w:textAlignment w:val="baseline"/>
              <w:rPr>
                <w:sz w:val="28"/>
                <w:szCs w:val="28"/>
              </w:rPr>
            </w:pPr>
            <w:r w:rsidRPr="00336891">
              <w:rPr>
                <w:sz w:val="28"/>
                <w:szCs w:val="28"/>
              </w:rPr>
              <w:t>(9)</w:t>
            </w:r>
          </w:p>
        </w:tc>
      </w:tr>
    </w:tbl>
    <w:p w:rsidR="00DE0996" w:rsidRDefault="00DE0996" w:rsidP="00DE0996">
      <w:pPr>
        <w:ind w:firstLine="720"/>
        <w:jc w:val="both"/>
        <w:rPr>
          <w:sz w:val="28"/>
          <w:szCs w:val="28"/>
        </w:rPr>
      </w:pPr>
      <w:r>
        <w:rPr>
          <w:sz w:val="28"/>
          <w:szCs w:val="28"/>
        </w:rPr>
        <w:t xml:space="preserve">При одинаковых коэффициентах трансформации </w:t>
      </w:r>
      <w:r>
        <w:rPr>
          <w:sz w:val="28"/>
          <w:szCs w:val="28"/>
          <w:lang w:val="en-US"/>
        </w:rPr>
        <w:t>k</w:t>
      </w:r>
      <w:r w:rsidRPr="00C20BD9">
        <w:rPr>
          <w:sz w:val="28"/>
          <w:szCs w:val="28"/>
          <w:vertAlign w:val="subscript"/>
        </w:rPr>
        <w:t>та</w:t>
      </w:r>
      <w:r>
        <w:rPr>
          <w:sz w:val="28"/>
          <w:szCs w:val="28"/>
        </w:rPr>
        <w:t xml:space="preserve"> всех трансформаторов тока во вторичных цепях защиты ток в реле равен:</w:t>
      </w:r>
    </w:p>
    <w:tbl>
      <w:tblPr>
        <w:tblW w:w="9360" w:type="dxa"/>
        <w:tblInd w:w="108" w:type="dxa"/>
        <w:tblLook w:val="01E0" w:firstRow="1" w:lastRow="1" w:firstColumn="1" w:lastColumn="1" w:noHBand="0" w:noVBand="0"/>
      </w:tblPr>
      <w:tblGrid>
        <w:gridCol w:w="8280"/>
        <w:gridCol w:w="1080"/>
      </w:tblGrid>
      <w:tr w:rsidR="00DE0996" w:rsidRPr="00336891" w:rsidTr="00F12D65">
        <w:tc>
          <w:tcPr>
            <w:tcW w:w="8280" w:type="dxa"/>
            <w:vAlign w:val="center"/>
          </w:tcPr>
          <w:p w:rsidR="00DE0996" w:rsidRPr="00336891" w:rsidRDefault="00DE0996" w:rsidP="00F12D65">
            <w:pPr>
              <w:overflowPunct w:val="0"/>
              <w:autoSpaceDE w:val="0"/>
              <w:autoSpaceDN w:val="0"/>
              <w:adjustRightInd w:val="0"/>
              <w:ind w:firstLine="720"/>
              <w:jc w:val="center"/>
              <w:textAlignment w:val="baseline"/>
              <w:rPr>
                <w:sz w:val="28"/>
                <w:szCs w:val="28"/>
              </w:rPr>
            </w:pPr>
            <w:r w:rsidRPr="00336891">
              <w:rPr>
                <w:position w:val="-24"/>
                <w:sz w:val="28"/>
                <w:szCs w:val="28"/>
              </w:rPr>
              <w:object w:dxaOrig="2320" w:dyaOrig="480">
                <v:shape id="_x0000_i1027" type="#_x0000_t75" style="width:116.25pt;height:24pt" o:ole="">
                  <v:imagedata r:id="rId8" o:title=""/>
                </v:shape>
                <o:OLEObject Type="Embed" ProgID="Equation.3" ShapeID="_x0000_i1027" DrawAspect="Content" ObjectID="_1704903705" r:id="rId9"/>
              </w:object>
            </w:r>
          </w:p>
        </w:tc>
        <w:tc>
          <w:tcPr>
            <w:tcW w:w="1080" w:type="dxa"/>
            <w:vAlign w:val="center"/>
          </w:tcPr>
          <w:p w:rsidR="00DE0996" w:rsidRPr="00336891" w:rsidRDefault="00DE0996" w:rsidP="00F12D65">
            <w:pPr>
              <w:overflowPunct w:val="0"/>
              <w:autoSpaceDE w:val="0"/>
              <w:autoSpaceDN w:val="0"/>
              <w:adjustRightInd w:val="0"/>
              <w:ind w:firstLine="2"/>
              <w:jc w:val="right"/>
              <w:textAlignment w:val="baseline"/>
              <w:rPr>
                <w:sz w:val="28"/>
                <w:szCs w:val="28"/>
              </w:rPr>
            </w:pPr>
            <w:r w:rsidRPr="00336891">
              <w:rPr>
                <w:sz w:val="28"/>
                <w:szCs w:val="28"/>
              </w:rPr>
              <w:t>(10)</w:t>
            </w:r>
          </w:p>
        </w:tc>
      </w:tr>
      <w:tr w:rsidR="00DE0996" w:rsidRPr="00336891" w:rsidTr="00F12D65">
        <w:tc>
          <w:tcPr>
            <w:tcW w:w="8280" w:type="dxa"/>
            <w:vAlign w:val="center"/>
          </w:tcPr>
          <w:p w:rsidR="00DE0996" w:rsidRPr="00336891" w:rsidRDefault="00DE0996" w:rsidP="00F12D65">
            <w:pPr>
              <w:overflowPunct w:val="0"/>
              <w:autoSpaceDE w:val="0"/>
              <w:autoSpaceDN w:val="0"/>
              <w:adjustRightInd w:val="0"/>
              <w:ind w:firstLine="720"/>
              <w:jc w:val="center"/>
              <w:textAlignment w:val="baseline"/>
              <w:rPr>
                <w:sz w:val="28"/>
                <w:szCs w:val="28"/>
              </w:rPr>
            </w:pPr>
            <w:r w:rsidRPr="00336891">
              <w:rPr>
                <w:position w:val="-38"/>
              </w:rPr>
              <w:object w:dxaOrig="5780" w:dyaOrig="859">
                <v:shape id="_x0000_i1028" type="#_x0000_t75" style="width:288.75pt;height:42.75pt" o:ole="">
                  <v:imagedata r:id="rId10" o:title=""/>
                </v:shape>
                <o:OLEObject Type="Embed" ProgID="Equation.3" ShapeID="_x0000_i1028" DrawAspect="Content" ObjectID="_1704903706" r:id="rId11"/>
              </w:object>
            </w:r>
          </w:p>
        </w:tc>
        <w:tc>
          <w:tcPr>
            <w:tcW w:w="1080" w:type="dxa"/>
            <w:vAlign w:val="center"/>
          </w:tcPr>
          <w:p w:rsidR="00DE0996" w:rsidRPr="00336891" w:rsidRDefault="00DE0996" w:rsidP="00F12D65">
            <w:pPr>
              <w:overflowPunct w:val="0"/>
              <w:autoSpaceDE w:val="0"/>
              <w:autoSpaceDN w:val="0"/>
              <w:adjustRightInd w:val="0"/>
              <w:ind w:firstLine="2"/>
              <w:jc w:val="right"/>
              <w:textAlignment w:val="baseline"/>
              <w:rPr>
                <w:sz w:val="28"/>
                <w:szCs w:val="28"/>
              </w:rPr>
            </w:pPr>
            <w:r w:rsidRPr="00336891">
              <w:rPr>
                <w:sz w:val="28"/>
                <w:szCs w:val="28"/>
              </w:rPr>
              <w:t>(11)</w:t>
            </w:r>
          </w:p>
        </w:tc>
      </w:tr>
    </w:tbl>
    <w:p w:rsidR="00DE0996" w:rsidRDefault="00DE0996" w:rsidP="00DE0996">
      <w:pPr>
        <w:ind w:firstLine="720"/>
        <w:jc w:val="both"/>
        <w:rPr>
          <w:sz w:val="28"/>
          <w:szCs w:val="28"/>
        </w:rPr>
      </w:pPr>
      <w:r>
        <w:rPr>
          <w:sz w:val="28"/>
          <w:szCs w:val="28"/>
        </w:rPr>
        <w:t xml:space="preserve">Таким образом, при внешнем коротком замыкании ток в реле равен нулю. Но в действительности, в реле протекают токи небаланса, вследствие </w:t>
      </w:r>
      <w:proofErr w:type="gramStart"/>
      <w:r>
        <w:rPr>
          <w:sz w:val="28"/>
          <w:szCs w:val="28"/>
        </w:rPr>
        <w:t xml:space="preserve">не идентичности </w:t>
      </w:r>
      <w:proofErr w:type="gramEnd"/>
      <w:r>
        <w:rPr>
          <w:sz w:val="28"/>
          <w:szCs w:val="28"/>
        </w:rPr>
        <w:t>кривых намагничивания трансформаторов тока, поэтому ток срабатывания дифференциальной защиты шин должен быть отстроен от этих токов небаланса.</w:t>
      </w:r>
    </w:p>
    <w:p w:rsidR="00DE0996" w:rsidRPr="00FD7777" w:rsidRDefault="00DE0996" w:rsidP="00DE0996">
      <w:pPr>
        <w:ind w:firstLine="720"/>
        <w:jc w:val="center"/>
        <w:rPr>
          <w:b/>
          <w:sz w:val="28"/>
          <w:szCs w:val="28"/>
        </w:rPr>
      </w:pPr>
      <w:r>
        <w:object w:dxaOrig="4295" w:dyaOrig="3212">
          <v:shape id="_x0000_i1029" type="#_x0000_t75" style="width:214.5pt;height:160.5pt" o:ole="">
            <v:imagedata r:id="rId12" o:title=""/>
          </v:shape>
          <o:OLEObject Type="Embed" ProgID="Visio.Drawing.11" ShapeID="_x0000_i1029" DrawAspect="Content" ObjectID="_1704903707" r:id="rId13"/>
        </w:object>
      </w:r>
    </w:p>
    <w:p w:rsidR="00DE0996" w:rsidRDefault="00DE0996" w:rsidP="00DE0996">
      <w:pPr>
        <w:ind w:firstLine="720"/>
        <w:jc w:val="center"/>
        <w:rPr>
          <w:sz w:val="28"/>
          <w:szCs w:val="28"/>
        </w:rPr>
      </w:pPr>
      <w:r>
        <w:rPr>
          <w:sz w:val="28"/>
          <w:szCs w:val="28"/>
        </w:rPr>
        <w:t xml:space="preserve">Рисунок 39 – </w:t>
      </w:r>
      <w:proofErr w:type="spellStart"/>
      <w:r>
        <w:rPr>
          <w:sz w:val="28"/>
          <w:szCs w:val="28"/>
        </w:rPr>
        <w:t>Токораспределение</w:t>
      </w:r>
      <w:proofErr w:type="spellEnd"/>
      <w:r>
        <w:rPr>
          <w:sz w:val="28"/>
          <w:szCs w:val="28"/>
        </w:rPr>
        <w:t xml:space="preserve"> во вторичных цепях ДЗШ при внешнем </w:t>
      </w:r>
      <w:proofErr w:type="spellStart"/>
      <w:r>
        <w:rPr>
          <w:sz w:val="28"/>
          <w:szCs w:val="28"/>
        </w:rPr>
        <w:t>к.з</w:t>
      </w:r>
      <w:proofErr w:type="spellEnd"/>
      <w:r>
        <w:rPr>
          <w:sz w:val="28"/>
          <w:szCs w:val="28"/>
        </w:rPr>
        <w:t>.</w:t>
      </w:r>
    </w:p>
    <w:p w:rsidR="00DE0996" w:rsidRDefault="00DE0996" w:rsidP="00DE0996">
      <w:pPr>
        <w:ind w:firstLine="720"/>
        <w:jc w:val="both"/>
        <w:rPr>
          <w:sz w:val="28"/>
          <w:szCs w:val="28"/>
        </w:rPr>
      </w:pPr>
    </w:p>
    <w:p w:rsidR="00DE0996" w:rsidRDefault="00DE0996" w:rsidP="00DE0996">
      <w:pPr>
        <w:ind w:firstLine="720"/>
        <w:jc w:val="both"/>
        <w:rPr>
          <w:sz w:val="28"/>
          <w:szCs w:val="28"/>
        </w:rPr>
      </w:pPr>
      <w:r>
        <w:rPr>
          <w:sz w:val="28"/>
          <w:szCs w:val="28"/>
        </w:rPr>
        <w:t>Рассмотрим теперь режим короткого замыкания на шинах подстанции (рисунок 40).</w:t>
      </w:r>
    </w:p>
    <w:p w:rsidR="00DE0996" w:rsidRPr="00FD7777" w:rsidRDefault="00DE0996" w:rsidP="00DE0996">
      <w:pPr>
        <w:ind w:firstLine="720"/>
        <w:jc w:val="center"/>
        <w:rPr>
          <w:b/>
          <w:sz w:val="28"/>
          <w:szCs w:val="28"/>
        </w:rPr>
      </w:pPr>
      <w:r>
        <w:object w:dxaOrig="5134" w:dyaOrig="2758">
          <v:shape id="_x0000_i1030" type="#_x0000_t75" style="width:256.5pt;height:138pt" o:ole="">
            <v:imagedata r:id="rId14" o:title=""/>
          </v:shape>
          <o:OLEObject Type="Embed" ProgID="Visio.Drawing.11" ShapeID="_x0000_i1030" DrawAspect="Content" ObjectID="_1704903708" r:id="rId15"/>
        </w:object>
      </w:r>
    </w:p>
    <w:p w:rsidR="00DE0996" w:rsidRDefault="00DE0996" w:rsidP="00DE0996">
      <w:pPr>
        <w:ind w:firstLine="720"/>
        <w:jc w:val="center"/>
        <w:rPr>
          <w:sz w:val="28"/>
          <w:szCs w:val="28"/>
        </w:rPr>
      </w:pPr>
      <w:r>
        <w:rPr>
          <w:sz w:val="28"/>
          <w:szCs w:val="28"/>
        </w:rPr>
        <w:t xml:space="preserve">Рисунок 40 – </w:t>
      </w:r>
      <w:proofErr w:type="spellStart"/>
      <w:r>
        <w:rPr>
          <w:sz w:val="28"/>
          <w:szCs w:val="28"/>
        </w:rPr>
        <w:t>Токораспределение</w:t>
      </w:r>
      <w:proofErr w:type="spellEnd"/>
      <w:r>
        <w:rPr>
          <w:sz w:val="28"/>
          <w:szCs w:val="28"/>
        </w:rPr>
        <w:t xml:space="preserve"> во вторичных цепях ДЗШ при внутреннем </w:t>
      </w:r>
      <w:proofErr w:type="spellStart"/>
      <w:r>
        <w:rPr>
          <w:sz w:val="28"/>
          <w:szCs w:val="28"/>
        </w:rPr>
        <w:t>к.з</w:t>
      </w:r>
      <w:proofErr w:type="spellEnd"/>
      <w:r>
        <w:rPr>
          <w:sz w:val="28"/>
          <w:szCs w:val="28"/>
        </w:rPr>
        <w:t>.</w:t>
      </w:r>
    </w:p>
    <w:p w:rsidR="00DE0996" w:rsidRDefault="00DE0996" w:rsidP="00DE0996">
      <w:pPr>
        <w:ind w:firstLine="720"/>
        <w:jc w:val="both"/>
        <w:rPr>
          <w:sz w:val="28"/>
          <w:szCs w:val="28"/>
        </w:rPr>
      </w:pPr>
    </w:p>
    <w:p w:rsidR="00DE0996" w:rsidRDefault="00DE0996" w:rsidP="00DE0996">
      <w:pPr>
        <w:ind w:firstLine="720"/>
        <w:jc w:val="both"/>
      </w:pPr>
      <w:r>
        <w:rPr>
          <w:sz w:val="28"/>
          <w:szCs w:val="28"/>
        </w:rPr>
        <w:t>При коротком замыкании на шинах (</w:t>
      </w:r>
      <w:proofErr w:type="spellStart"/>
      <w:r>
        <w:rPr>
          <w:sz w:val="28"/>
          <w:szCs w:val="28"/>
        </w:rPr>
        <w:t>к.з</w:t>
      </w:r>
      <w:proofErr w:type="spellEnd"/>
      <w:r>
        <w:rPr>
          <w:sz w:val="28"/>
          <w:szCs w:val="28"/>
        </w:rPr>
        <w:t xml:space="preserve">. в точке К) токи протекают в точку </w:t>
      </w:r>
      <w:proofErr w:type="spellStart"/>
      <w:r>
        <w:rPr>
          <w:sz w:val="28"/>
          <w:szCs w:val="28"/>
        </w:rPr>
        <w:t>к.з</w:t>
      </w:r>
      <w:proofErr w:type="spellEnd"/>
      <w:r>
        <w:rPr>
          <w:sz w:val="28"/>
          <w:szCs w:val="28"/>
        </w:rPr>
        <w:t>. и все токи в реле не уничтожаются, а уже складываются и реле срабатывает, отключая шины всеми выключателями.</w:t>
      </w:r>
    </w:p>
    <w:p w:rsidR="00DE0996" w:rsidRDefault="00DE0996" w:rsidP="00DE0996">
      <w:pPr>
        <w:ind w:firstLine="720"/>
        <w:jc w:val="both"/>
        <w:rPr>
          <w:sz w:val="28"/>
          <w:szCs w:val="28"/>
        </w:rPr>
      </w:pPr>
      <w:r>
        <w:rPr>
          <w:sz w:val="28"/>
          <w:szCs w:val="28"/>
        </w:rPr>
        <w:t>В схеме дифференциальной защиты участвуют большое количество трансформаторов тока, то токи небаланса достигают больших значений. Поэтому для снижения их:</w:t>
      </w:r>
    </w:p>
    <w:p w:rsidR="00DE0996" w:rsidRDefault="00DE0996" w:rsidP="00DE0996">
      <w:pPr>
        <w:ind w:firstLine="720"/>
        <w:jc w:val="both"/>
        <w:rPr>
          <w:sz w:val="28"/>
          <w:szCs w:val="28"/>
        </w:rPr>
      </w:pPr>
      <w:r>
        <w:rPr>
          <w:sz w:val="28"/>
          <w:szCs w:val="28"/>
        </w:rPr>
        <w:t>- выбираются однотипные трансформаторы тока;</w:t>
      </w:r>
    </w:p>
    <w:p w:rsidR="00DE0996" w:rsidRDefault="00DE0996" w:rsidP="00DE0996">
      <w:pPr>
        <w:ind w:firstLine="720"/>
        <w:jc w:val="both"/>
        <w:rPr>
          <w:sz w:val="28"/>
          <w:szCs w:val="28"/>
        </w:rPr>
      </w:pPr>
      <w:r>
        <w:rPr>
          <w:sz w:val="28"/>
          <w:szCs w:val="28"/>
        </w:rPr>
        <w:t>- увеличивают коэффициент трансформации трансформаторов тока;</w:t>
      </w:r>
    </w:p>
    <w:p w:rsidR="00DE0996" w:rsidRDefault="00DE0996" w:rsidP="00DE0996">
      <w:pPr>
        <w:ind w:firstLine="720"/>
        <w:jc w:val="both"/>
        <w:rPr>
          <w:sz w:val="28"/>
          <w:szCs w:val="28"/>
        </w:rPr>
      </w:pPr>
      <w:r>
        <w:rPr>
          <w:sz w:val="28"/>
          <w:szCs w:val="28"/>
        </w:rPr>
        <w:t>- уменьшают нагрузку на трансформаторы тока, чтобы их погрешность не выходила за допустимые пределы.</w:t>
      </w:r>
    </w:p>
    <w:p w:rsidR="00DE0996" w:rsidRDefault="00DE0996" w:rsidP="00DE0996">
      <w:pPr>
        <w:ind w:firstLine="720"/>
        <w:jc w:val="both"/>
        <w:rPr>
          <w:sz w:val="28"/>
          <w:szCs w:val="28"/>
        </w:rPr>
      </w:pPr>
      <w:r>
        <w:rPr>
          <w:sz w:val="28"/>
          <w:szCs w:val="28"/>
        </w:rPr>
        <w:t>Выше перечисленные мероприятия часто недостаточны для снижения токов небаланса во вторичных цепях ДЗШ. Поэтому необходимо отстройка от токов небаланса с помощью применения реле РНТ-560 с БНТ.</w:t>
      </w:r>
    </w:p>
    <w:p w:rsidR="00DE0996" w:rsidRDefault="00DE0996" w:rsidP="00DE0996">
      <w:pPr>
        <w:ind w:firstLine="720"/>
        <w:jc w:val="both"/>
        <w:rPr>
          <w:sz w:val="28"/>
          <w:szCs w:val="28"/>
        </w:rPr>
      </w:pPr>
      <w:r>
        <w:rPr>
          <w:sz w:val="28"/>
          <w:szCs w:val="28"/>
        </w:rPr>
        <w:t>В случае обрыва или другой неисправности в цепях трансформаторов тока защиты приведет к нарушению баланса токов в реле, что послужит причиной ложного отключения сборных шин подстанции, т.е. всех потребителей электроэнергии или приведет к тяжелой системной аварии. Поэтому ток срабатывания ДЗШ должен быть больше тока нагрузки наиболее загруженной линии (чтобы при обрыве провода от его трансформаторов тока защита не сработала). Также необходимо постоянно контролировать ток в реле для своевременного обнаружения неисправности в цепях ДЗШ. Это реализуется установкой токового реле 2 (рисунок 41), которое подает сигнал с выдержкой времени при появлении токов небаланса в цепи дифференциального реле 1 и выводит защиту из работы. Также в дополнение к реле 2 устанавливается миллиамперметр мА для измерения этого тока небаланса.</w:t>
      </w:r>
    </w:p>
    <w:p w:rsidR="00DE0996" w:rsidRDefault="00DE0996" w:rsidP="00DE0996">
      <w:pPr>
        <w:ind w:firstLine="720"/>
        <w:jc w:val="both"/>
        <w:rPr>
          <w:sz w:val="28"/>
          <w:szCs w:val="28"/>
        </w:rPr>
      </w:pPr>
    </w:p>
    <w:p w:rsidR="00DE0996" w:rsidRPr="00FD7777" w:rsidRDefault="00DE0996" w:rsidP="00DE0996">
      <w:pPr>
        <w:ind w:firstLine="720"/>
        <w:jc w:val="center"/>
        <w:rPr>
          <w:b/>
          <w:sz w:val="28"/>
          <w:szCs w:val="28"/>
        </w:rPr>
      </w:pPr>
      <w:r>
        <w:object w:dxaOrig="6088" w:dyaOrig="2530">
          <v:shape id="_x0000_i1031" type="#_x0000_t75" style="width:304.5pt;height:126.75pt" o:ole="">
            <v:imagedata r:id="rId16" o:title=""/>
          </v:shape>
          <o:OLEObject Type="Embed" ProgID="Visio.Drawing.11" ShapeID="_x0000_i1031" DrawAspect="Content" ObjectID="_1704903709" r:id="rId17"/>
        </w:object>
      </w:r>
    </w:p>
    <w:p w:rsidR="00DE0996" w:rsidRDefault="00DE0996" w:rsidP="00DE0996">
      <w:pPr>
        <w:ind w:firstLine="720"/>
        <w:jc w:val="center"/>
        <w:rPr>
          <w:sz w:val="28"/>
          <w:szCs w:val="28"/>
        </w:rPr>
      </w:pPr>
      <w:r>
        <w:rPr>
          <w:sz w:val="28"/>
          <w:szCs w:val="28"/>
        </w:rPr>
        <w:t>Рисунок 41 – Принципиальная схема ДЗШ</w:t>
      </w:r>
    </w:p>
    <w:p w:rsidR="00DE0996" w:rsidRDefault="00DE0996" w:rsidP="00DE0996">
      <w:pPr>
        <w:ind w:firstLine="720"/>
        <w:jc w:val="both"/>
        <w:rPr>
          <w:sz w:val="28"/>
          <w:szCs w:val="28"/>
        </w:rPr>
      </w:pPr>
    </w:p>
    <w:p w:rsidR="00DE0996" w:rsidRDefault="00DE0996" w:rsidP="00DE0996">
      <w:pPr>
        <w:ind w:firstLine="720"/>
        <w:jc w:val="both"/>
        <w:rPr>
          <w:sz w:val="28"/>
          <w:szCs w:val="28"/>
        </w:rPr>
      </w:pPr>
      <w:r>
        <w:rPr>
          <w:sz w:val="28"/>
          <w:szCs w:val="28"/>
        </w:rPr>
        <w:t>В тех случаях, когда не удается ограничить токи небаланса в реле и погрешности трансформаторов тока выходят за пределы 10% рассмотренная ранее схема дифференциальной защиты шин оказывается недостаточно чувствительной и надежной.  Поэтому в таких случаях применяется ДЗШ с торможением или дифференциально-фазная защита шин.</w:t>
      </w:r>
    </w:p>
    <w:p w:rsidR="00DE0996" w:rsidRDefault="00DE0996" w:rsidP="00DE0996">
      <w:pPr>
        <w:ind w:firstLine="720"/>
        <w:jc w:val="both"/>
        <w:rPr>
          <w:sz w:val="28"/>
          <w:szCs w:val="28"/>
        </w:rPr>
      </w:pPr>
    </w:p>
    <w:p w:rsidR="00DE0996" w:rsidRDefault="00DE0996" w:rsidP="00DE0996">
      <w:pPr>
        <w:ind w:firstLine="720"/>
        <w:jc w:val="both"/>
        <w:rPr>
          <w:i/>
          <w:sz w:val="28"/>
          <w:szCs w:val="28"/>
        </w:rPr>
      </w:pPr>
      <w:r>
        <w:rPr>
          <w:i/>
          <w:sz w:val="28"/>
          <w:szCs w:val="28"/>
        </w:rPr>
        <w:t xml:space="preserve">Дифференциальная защита шин с </w:t>
      </w:r>
      <w:proofErr w:type="gramStart"/>
      <w:r>
        <w:rPr>
          <w:i/>
          <w:sz w:val="28"/>
          <w:szCs w:val="28"/>
        </w:rPr>
        <w:t>торможением .</w:t>
      </w:r>
      <w:proofErr w:type="gramEnd"/>
    </w:p>
    <w:p w:rsidR="00DE0996" w:rsidRDefault="00DE0996" w:rsidP="00DE0996">
      <w:pPr>
        <w:ind w:firstLine="720"/>
        <w:jc w:val="both"/>
        <w:rPr>
          <w:sz w:val="28"/>
          <w:szCs w:val="28"/>
        </w:rPr>
      </w:pPr>
      <w:r>
        <w:rPr>
          <w:sz w:val="28"/>
          <w:szCs w:val="28"/>
        </w:rPr>
        <w:t>В ДЗШ с торможением используется реле с двумя обмотками: рабочей Р (дифференциальной) и тормозной Т (рисунок 42). Данное реле подключено к трансформаторам тока через промежуточные трансформаторы тока и выпрямительные мосты. Дифференциальная обмотка Р подключена на выпрямленный ток геометрической суммы токов трансформаторов тока:</w:t>
      </w:r>
    </w:p>
    <w:tbl>
      <w:tblPr>
        <w:tblW w:w="9360" w:type="dxa"/>
        <w:tblInd w:w="108" w:type="dxa"/>
        <w:tblLook w:val="01E0" w:firstRow="1" w:lastRow="1" w:firstColumn="1" w:lastColumn="1" w:noHBand="0" w:noVBand="0"/>
      </w:tblPr>
      <w:tblGrid>
        <w:gridCol w:w="8280"/>
        <w:gridCol w:w="1080"/>
      </w:tblGrid>
      <w:tr w:rsidR="00DE0996" w:rsidRPr="00336891" w:rsidTr="00F12D65">
        <w:tc>
          <w:tcPr>
            <w:tcW w:w="8280" w:type="dxa"/>
            <w:vAlign w:val="center"/>
          </w:tcPr>
          <w:p w:rsidR="00DE0996" w:rsidRPr="00336891" w:rsidRDefault="00DE0996" w:rsidP="00F12D65">
            <w:pPr>
              <w:overflowPunct w:val="0"/>
              <w:autoSpaceDE w:val="0"/>
              <w:autoSpaceDN w:val="0"/>
              <w:adjustRightInd w:val="0"/>
              <w:ind w:firstLine="720"/>
              <w:jc w:val="center"/>
              <w:textAlignment w:val="baseline"/>
              <w:rPr>
                <w:sz w:val="28"/>
                <w:szCs w:val="28"/>
              </w:rPr>
            </w:pPr>
            <w:r w:rsidRPr="00336891">
              <w:rPr>
                <w:position w:val="-38"/>
                <w:sz w:val="28"/>
                <w:szCs w:val="28"/>
              </w:rPr>
              <w:object w:dxaOrig="1359" w:dyaOrig="880">
                <v:shape id="_x0000_i1032" type="#_x0000_t75" style="width:68.25pt;height:44.25pt" o:ole="">
                  <v:imagedata r:id="rId18" o:title=""/>
                </v:shape>
                <o:OLEObject Type="Embed" ProgID="Equation.3" ShapeID="_x0000_i1032" DrawAspect="Content" ObjectID="_1704903710" r:id="rId19"/>
              </w:object>
            </w:r>
          </w:p>
        </w:tc>
        <w:tc>
          <w:tcPr>
            <w:tcW w:w="1080" w:type="dxa"/>
            <w:vAlign w:val="center"/>
          </w:tcPr>
          <w:p w:rsidR="00DE0996" w:rsidRPr="00336891" w:rsidRDefault="00DE0996" w:rsidP="00F12D65">
            <w:pPr>
              <w:overflowPunct w:val="0"/>
              <w:autoSpaceDE w:val="0"/>
              <w:autoSpaceDN w:val="0"/>
              <w:adjustRightInd w:val="0"/>
              <w:ind w:firstLine="2"/>
              <w:jc w:val="right"/>
              <w:textAlignment w:val="baseline"/>
              <w:rPr>
                <w:sz w:val="28"/>
                <w:szCs w:val="28"/>
              </w:rPr>
            </w:pPr>
            <w:r w:rsidRPr="00336891">
              <w:rPr>
                <w:sz w:val="28"/>
                <w:szCs w:val="28"/>
              </w:rPr>
              <w:t>(12)</w:t>
            </w:r>
          </w:p>
        </w:tc>
      </w:tr>
    </w:tbl>
    <w:p w:rsidR="00DE0996" w:rsidRDefault="00DE0996" w:rsidP="00DE0996">
      <w:pPr>
        <w:ind w:firstLine="720"/>
        <w:jc w:val="both"/>
        <w:rPr>
          <w:sz w:val="28"/>
          <w:szCs w:val="28"/>
        </w:rPr>
      </w:pPr>
      <w:r>
        <w:rPr>
          <w:sz w:val="28"/>
          <w:szCs w:val="28"/>
        </w:rPr>
        <w:t>Тормозная обмотка Т реле подключена на арифметическую сумму токов трансформаторов тока, складываются только модули и не учитываются углы сдвига фаз друг относительно друга, в отличии от дифференциальной обмотки:</w:t>
      </w:r>
    </w:p>
    <w:tbl>
      <w:tblPr>
        <w:tblW w:w="9360" w:type="dxa"/>
        <w:tblInd w:w="108" w:type="dxa"/>
        <w:tblLook w:val="01E0" w:firstRow="1" w:lastRow="1" w:firstColumn="1" w:lastColumn="1" w:noHBand="0" w:noVBand="0"/>
      </w:tblPr>
      <w:tblGrid>
        <w:gridCol w:w="8280"/>
        <w:gridCol w:w="1080"/>
      </w:tblGrid>
      <w:tr w:rsidR="00DE0996" w:rsidRPr="00336891" w:rsidTr="00F12D65">
        <w:tc>
          <w:tcPr>
            <w:tcW w:w="8280" w:type="dxa"/>
            <w:vAlign w:val="center"/>
          </w:tcPr>
          <w:p w:rsidR="00DE0996" w:rsidRPr="00336891" w:rsidRDefault="00DE0996" w:rsidP="00F12D65">
            <w:pPr>
              <w:overflowPunct w:val="0"/>
              <w:autoSpaceDE w:val="0"/>
              <w:autoSpaceDN w:val="0"/>
              <w:adjustRightInd w:val="0"/>
              <w:ind w:firstLine="720"/>
              <w:jc w:val="center"/>
              <w:textAlignment w:val="baseline"/>
              <w:rPr>
                <w:sz w:val="28"/>
                <w:szCs w:val="28"/>
              </w:rPr>
            </w:pPr>
            <w:r w:rsidRPr="00336891">
              <w:rPr>
                <w:position w:val="-38"/>
                <w:sz w:val="28"/>
                <w:szCs w:val="28"/>
              </w:rPr>
              <w:object w:dxaOrig="1359" w:dyaOrig="880">
                <v:shape id="_x0000_i1033" type="#_x0000_t75" style="width:68.25pt;height:44.25pt" o:ole="">
                  <v:imagedata r:id="rId20" o:title=""/>
                </v:shape>
                <o:OLEObject Type="Embed" ProgID="Equation.3" ShapeID="_x0000_i1033" DrawAspect="Content" ObjectID="_1704903711" r:id="rId21"/>
              </w:object>
            </w:r>
          </w:p>
        </w:tc>
        <w:tc>
          <w:tcPr>
            <w:tcW w:w="1080" w:type="dxa"/>
            <w:vAlign w:val="center"/>
          </w:tcPr>
          <w:p w:rsidR="00DE0996" w:rsidRPr="00336891" w:rsidRDefault="00DE0996" w:rsidP="00F12D65">
            <w:pPr>
              <w:overflowPunct w:val="0"/>
              <w:autoSpaceDE w:val="0"/>
              <w:autoSpaceDN w:val="0"/>
              <w:adjustRightInd w:val="0"/>
              <w:ind w:firstLine="2"/>
              <w:jc w:val="right"/>
              <w:textAlignment w:val="baseline"/>
              <w:rPr>
                <w:sz w:val="28"/>
                <w:szCs w:val="28"/>
              </w:rPr>
            </w:pPr>
            <w:r w:rsidRPr="00336891">
              <w:rPr>
                <w:sz w:val="28"/>
                <w:szCs w:val="28"/>
              </w:rPr>
              <w:t>(13)</w:t>
            </w:r>
          </w:p>
        </w:tc>
      </w:tr>
    </w:tbl>
    <w:p w:rsidR="00DE0996" w:rsidRDefault="00DE0996" w:rsidP="00DE0996">
      <w:pPr>
        <w:ind w:firstLine="720"/>
        <w:jc w:val="center"/>
      </w:pPr>
    </w:p>
    <w:p w:rsidR="00DE0996" w:rsidRPr="00FD7777" w:rsidRDefault="00DE0996" w:rsidP="00DE0996">
      <w:pPr>
        <w:ind w:firstLine="720"/>
        <w:jc w:val="center"/>
        <w:rPr>
          <w:b/>
          <w:sz w:val="28"/>
          <w:szCs w:val="28"/>
        </w:rPr>
      </w:pPr>
      <w:r>
        <w:object w:dxaOrig="6080" w:dyaOrig="7392">
          <v:shape id="_x0000_i1034" type="#_x0000_t75" style="width:303.75pt;height:369.75pt" o:ole="">
            <v:imagedata r:id="rId22" o:title=""/>
          </v:shape>
          <o:OLEObject Type="Embed" ProgID="Visio.Drawing.11" ShapeID="_x0000_i1034" DrawAspect="Content" ObjectID="_1704903712" r:id="rId23"/>
        </w:object>
      </w:r>
    </w:p>
    <w:p w:rsidR="00DE0996" w:rsidRDefault="00DE0996" w:rsidP="00DE0996">
      <w:pPr>
        <w:ind w:firstLine="720"/>
        <w:jc w:val="center"/>
        <w:rPr>
          <w:sz w:val="28"/>
          <w:szCs w:val="28"/>
        </w:rPr>
      </w:pPr>
    </w:p>
    <w:p w:rsidR="00DE0996" w:rsidRDefault="00DE0996" w:rsidP="00DE0996">
      <w:pPr>
        <w:ind w:firstLine="720"/>
        <w:jc w:val="center"/>
        <w:rPr>
          <w:sz w:val="28"/>
          <w:szCs w:val="28"/>
        </w:rPr>
      </w:pPr>
      <w:r>
        <w:rPr>
          <w:sz w:val="28"/>
          <w:szCs w:val="28"/>
        </w:rPr>
        <w:t>Рисунок 42 – Принципиальная схема ДЗШ с торможением</w:t>
      </w:r>
    </w:p>
    <w:p w:rsidR="00DE0996" w:rsidRDefault="00DE0996" w:rsidP="00DE0996">
      <w:pPr>
        <w:ind w:firstLine="720"/>
        <w:jc w:val="both"/>
        <w:rPr>
          <w:sz w:val="28"/>
          <w:szCs w:val="28"/>
        </w:rPr>
      </w:pPr>
    </w:p>
    <w:p w:rsidR="00DE0996" w:rsidRPr="00891FC6" w:rsidRDefault="00DE0996" w:rsidP="00DE0996">
      <w:pPr>
        <w:ind w:firstLine="720"/>
        <w:jc w:val="both"/>
        <w:rPr>
          <w:sz w:val="28"/>
          <w:szCs w:val="28"/>
        </w:rPr>
      </w:pPr>
      <w:r>
        <w:rPr>
          <w:sz w:val="28"/>
          <w:szCs w:val="28"/>
        </w:rPr>
        <w:t>Условие срабатывания реле – это равенство тока в обоих его обмотках.</w:t>
      </w:r>
    </w:p>
    <w:p w:rsidR="00DE0996" w:rsidRDefault="00DE0996" w:rsidP="00DE0996">
      <w:pPr>
        <w:ind w:firstLine="720"/>
        <w:jc w:val="both"/>
        <w:rPr>
          <w:sz w:val="28"/>
          <w:szCs w:val="28"/>
        </w:rPr>
      </w:pPr>
      <w:r>
        <w:rPr>
          <w:sz w:val="28"/>
          <w:szCs w:val="28"/>
        </w:rPr>
        <w:t xml:space="preserve">При внутреннем </w:t>
      </w:r>
      <w:proofErr w:type="spellStart"/>
      <w:r>
        <w:rPr>
          <w:sz w:val="28"/>
          <w:szCs w:val="28"/>
        </w:rPr>
        <w:t>к.з</w:t>
      </w:r>
      <w:proofErr w:type="spellEnd"/>
      <w:r>
        <w:rPr>
          <w:sz w:val="28"/>
          <w:szCs w:val="28"/>
        </w:rPr>
        <w:t>. все токи складываются, сумма токов арифметически и геометрически оказываются одинаковыми и реле срабатывает (рисунок 43).</w:t>
      </w:r>
    </w:p>
    <w:tbl>
      <w:tblPr>
        <w:tblW w:w="9360" w:type="dxa"/>
        <w:tblInd w:w="108" w:type="dxa"/>
        <w:tblLook w:val="01E0" w:firstRow="1" w:lastRow="1" w:firstColumn="1" w:lastColumn="1" w:noHBand="0" w:noVBand="0"/>
      </w:tblPr>
      <w:tblGrid>
        <w:gridCol w:w="8280"/>
        <w:gridCol w:w="1080"/>
      </w:tblGrid>
      <w:tr w:rsidR="00DE0996" w:rsidRPr="00336891" w:rsidTr="00F12D65">
        <w:tc>
          <w:tcPr>
            <w:tcW w:w="8280" w:type="dxa"/>
            <w:vAlign w:val="center"/>
          </w:tcPr>
          <w:p w:rsidR="00DE0996" w:rsidRPr="00336891" w:rsidRDefault="00DE0996" w:rsidP="00F12D65">
            <w:pPr>
              <w:overflowPunct w:val="0"/>
              <w:autoSpaceDE w:val="0"/>
              <w:autoSpaceDN w:val="0"/>
              <w:adjustRightInd w:val="0"/>
              <w:ind w:firstLine="720"/>
              <w:jc w:val="center"/>
              <w:textAlignment w:val="baseline"/>
              <w:rPr>
                <w:sz w:val="28"/>
                <w:szCs w:val="28"/>
              </w:rPr>
            </w:pPr>
            <w:r w:rsidRPr="00336891">
              <w:rPr>
                <w:position w:val="-40"/>
                <w:sz w:val="28"/>
                <w:szCs w:val="28"/>
              </w:rPr>
              <w:object w:dxaOrig="5000" w:dyaOrig="920">
                <v:shape id="_x0000_i1035" type="#_x0000_t75" style="width:249.75pt;height:45.75pt" o:ole="">
                  <v:imagedata r:id="rId24" o:title=""/>
                </v:shape>
                <o:OLEObject Type="Embed" ProgID="Equation.3" ShapeID="_x0000_i1035" DrawAspect="Content" ObjectID="_1704903713" r:id="rId25"/>
              </w:object>
            </w:r>
          </w:p>
        </w:tc>
        <w:tc>
          <w:tcPr>
            <w:tcW w:w="1080" w:type="dxa"/>
            <w:vAlign w:val="center"/>
          </w:tcPr>
          <w:p w:rsidR="00DE0996" w:rsidRPr="00336891" w:rsidRDefault="00DE0996" w:rsidP="00F12D65">
            <w:pPr>
              <w:overflowPunct w:val="0"/>
              <w:autoSpaceDE w:val="0"/>
              <w:autoSpaceDN w:val="0"/>
              <w:adjustRightInd w:val="0"/>
              <w:ind w:firstLine="2"/>
              <w:jc w:val="right"/>
              <w:textAlignment w:val="baseline"/>
              <w:rPr>
                <w:sz w:val="28"/>
                <w:szCs w:val="28"/>
              </w:rPr>
            </w:pPr>
            <w:r w:rsidRPr="00336891">
              <w:rPr>
                <w:sz w:val="28"/>
                <w:szCs w:val="28"/>
              </w:rPr>
              <w:t>(14)</w:t>
            </w:r>
          </w:p>
        </w:tc>
      </w:tr>
    </w:tbl>
    <w:p w:rsidR="00DE0996" w:rsidRDefault="00DE0996" w:rsidP="00DE0996">
      <w:pPr>
        <w:ind w:firstLine="720"/>
        <w:jc w:val="both"/>
        <w:rPr>
          <w:sz w:val="28"/>
          <w:szCs w:val="28"/>
        </w:rPr>
      </w:pPr>
      <w:r>
        <w:rPr>
          <w:sz w:val="28"/>
          <w:szCs w:val="28"/>
        </w:rPr>
        <w:t xml:space="preserve">При внешнем </w:t>
      </w:r>
      <w:proofErr w:type="spellStart"/>
      <w:r>
        <w:rPr>
          <w:sz w:val="28"/>
          <w:szCs w:val="28"/>
        </w:rPr>
        <w:t>к.з</w:t>
      </w:r>
      <w:proofErr w:type="spellEnd"/>
      <w:r>
        <w:rPr>
          <w:sz w:val="28"/>
          <w:szCs w:val="28"/>
        </w:rPr>
        <w:t>. арифметическая сумма токов больше геометрической суммы и защита не срабатывает.</w:t>
      </w:r>
    </w:p>
    <w:tbl>
      <w:tblPr>
        <w:tblW w:w="9360" w:type="dxa"/>
        <w:tblInd w:w="108" w:type="dxa"/>
        <w:tblLook w:val="01E0" w:firstRow="1" w:lastRow="1" w:firstColumn="1" w:lastColumn="1" w:noHBand="0" w:noVBand="0"/>
      </w:tblPr>
      <w:tblGrid>
        <w:gridCol w:w="8280"/>
        <w:gridCol w:w="1080"/>
      </w:tblGrid>
      <w:tr w:rsidR="00DE0996" w:rsidRPr="00336891" w:rsidTr="00F12D65">
        <w:tc>
          <w:tcPr>
            <w:tcW w:w="8280" w:type="dxa"/>
            <w:vAlign w:val="center"/>
          </w:tcPr>
          <w:p w:rsidR="00DE0996" w:rsidRPr="00336891" w:rsidRDefault="00DE0996" w:rsidP="00F12D65">
            <w:pPr>
              <w:overflowPunct w:val="0"/>
              <w:autoSpaceDE w:val="0"/>
              <w:autoSpaceDN w:val="0"/>
              <w:adjustRightInd w:val="0"/>
              <w:ind w:firstLine="720"/>
              <w:jc w:val="center"/>
              <w:textAlignment w:val="baseline"/>
              <w:rPr>
                <w:sz w:val="28"/>
                <w:szCs w:val="28"/>
              </w:rPr>
            </w:pPr>
            <w:r w:rsidRPr="00336891">
              <w:rPr>
                <w:position w:val="-40"/>
                <w:sz w:val="28"/>
                <w:szCs w:val="28"/>
              </w:rPr>
              <w:object w:dxaOrig="5179" w:dyaOrig="920">
                <v:shape id="_x0000_i1036" type="#_x0000_t75" style="width:258.75pt;height:45.75pt" o:ole="">
                  <v:imagedata r:id="rId26" o:title=""/>
                </v:shape>
                <o:OLEObject Type="Embed" ProgID="Equation.3" ShapeID="_x0000_i1036" DrawAspect="Content" ObjectID="_1704903714" r:id="rId27"/>
              </w:object>
            </w:r>
          </w:p>
        </w:tc>
        <w:tc>
          <w:tcPr>
            <w:tcW w:w="1080" w:type="dxa"/>
            <w:vAlign w:val="center"/>
          </w:tcPr>
          <w:p w:rsidR="00DE0996" w:rsidRPr="00336891" w:rsidRDefault="00DE0996" w:rsidP="00F12D65">
            <w:pPr>
              <w:overflowPunct w:val="0"/>
              <w:autoSpaceDE w:val="0"/>
              <w:autoSpaceDN w:val="0"/>
              <w:adjustRightInd w:val="0"/>
              <w:ind w:firstLine="2"/>
              <w:jc w:val="right"/>
              <w:textAlignment w:val="baseline"/>
              <w:rPr>
                <w:sz w:val="28"/>
                <w:szCs w:val="28"/>
              </w:rPr>
            </w:pPr>
            <w:r w:rsidRPr="00336891">
              <w:rPr>
                <w:sz w:val="28"/>
                <w:szCs w:val="28"/>
              </w:rPr>
              <w:t>(15)</w:t>
            </w:r>
          </w:p>
        </w:tc>
      </w:tr>
    </w:tbl>
    <w:p w:rsidR="00DE0996" w:rsidRDefault="00DE0996" w:rsidP="00DE0996">
      <w:pPr>
        <w:ind w:firstLine="720"/>
        <w:jc w:val="both"/>
        <w:rPr>
          <w:sz w:val="28"/>
          <w:szCs w:val="28"/>
        </w:rPr>
      </w:pPr>
    </w:p>
    <w:p w:rsidR="00DE0996" w:rsidRPr="00FD7777" w:rsidRDefault="00DE0996" w:rsidP="00DE0996">
      <w:pPr>
        <w:ind w:firstLine="720"/>
        <w:jc w:val="center"/>
        <w:rPr>
          <w:b/>
          <w:sz w:val="28"/>
          <w:szCs w:val="28"/>
        </w:rPr>
      </w:pPr>
      <w:r>
        <w:object w:dxaOrig="3381" w:dyaOrig="2528">
          <v:shape id="_x0000_i1037" type="#_x0000_t75" style="width:168.75pt;height:126.75pt" o:ole="">
            <v:imagedata r:id="rId28" o:title=""/>
          </v:shape>
          <o:OLEObject Type="Embed" ProgID="Visio.Drawing.11" ShapeID="_x0000_i1037" DrawAspect="Content" ObjectID="_1704903715" r:id="rId29"/>
        </w:object>
      </w:r>
    </w:p>
    <w:p w:rsidR="00DE0996" w:rsidRDefault="00DE0996" w:rsidP="00DE0996">
      <w:pPr>
        <w:ind w:firstLine="720"/>
        <w:jc w:val="center"/>
        <w:rPr>
          <w:sz w:val="28"/>
          <w:szCs w:val="28"/>
        </w:rPr>
      </w:pPr>
      <w:r>
        <w:rPr>
          <w:sz w:val="28"/>
          <w:szCs w:val="28"/>
        </w:rPr>
        <w:t>Рисунок 43 – Характеристика срабатывания реле с торможением</w:t>
      </w:r>
    </w:p>
    <w:p w:rsidR="00DE0996" w:rsidRDefault="00DE0996" w:rsidP="00DE0996">
      <w:pPr>
        <w:ind w:firstLine="720"/>
        <w:jc w:val="center"/>
        <w:rPr>
          <w:sz w:val="28"/>
          <w:szCs w:val="28"/>
        </w:rPr>
      </w:pPr>
    </w:p>
    <w:p w:rsidR="00DE0996" w:rsidRDefault="00DE0996" w:rsidP="00DE0996">
      <w:pPr>
        <w:ind w:firstLine="720"/>
        <w:jc w:val="both"/>
        <w:rPr>
          <w:sz w:val="28"/>
          <w:szCs w:val="28"/>
        </w:rPr>
      </w:pPr>
      <w:r>
        <w:rPr>
          <w:sz w:val="28"/>
          <w:szCs w:val="28"/>
        </w:rPr>
        <w:t>Наличие торможения позволяет допускать значительно большие токи небаланса, чем при простых ранее рассмотренных реле.</w:t>
      </w:r>
    </w:p>
    <w:p w:rsidR="00DE0996" w:rsidRDefault="00DE0996" w:rsidP="00DE0996">
      <w:pPr>
        <w:ind w:firstLine="720"/>
        <w:jc w:val="both"/>
        <w:rPr>
          <w:sz w:val="28"/>
          <w:szCs w:val="28"/>
        </w:rPr>
      </w:pPr>
    </w:p>
    <w:p w:rsidR="00DE0996" w:rsidRDefault="00DE0996" w:rsidP="00DE0996">
      <w:pPr>
        <w:ind w:firstLine="720"/>
        <w:jc w:val="both"/>
        <w:rPr>
          <w:i/>
          <w:sz w:val="28"/>
          <w:szCs w:val="28"/>
        </w:rPr>
      </w:pPr>
      <w:r>
        <w:rPr>
          <w:i/>
          <w:sz w:val="28"/>
          <w:szCs w:val="28"/>
        </w:rPr>
        <w:t>Дифференциально-</w:t>
      </w:r>
      <w:proofErr w:type="gramStart"/>
      <w:r>
        <w:rPr>
          <w:i/>
          <w:sz w:val="28"/>
          <w:szCs w:val="28"/>
        </w:rPr>
        <w:t>фазная  защита</w:t>
      </w:r>
      <w:proofErr w:type="gramEnd"/>
      <w:r>
        <w:rPr>
          <w:i/>
          <w:sz w:val="28"/>
          <w:szCs w:val="28"/>
        </w:rPr>
        <w:t xml:space="preserve"> шин.</w:t>
      </w:r>
    </w:p>
    <w:p w:rsidR="00DE0996" w:rsidRDefault="00DE0996" w:rsidP="00DE0996">
      <w:pPr>
        <w:ind w:firstLine="720"/>
        <w:jc w:val="both"/>
        <w:rPr>
          <w:sz w:val="28"/>
          <w:szCs w:val="28"/>
        </w:rPr>
      </w:pPr>
      <w:r>
        <w:rPr>
          <w:sz w:val="28"/>
          <w:szCs w:val="28"/>
        </w:rPr>
        <w:t>Принцип действия дифференциально-фазной защиты основан на сравнении фаз токов присоединений (рисунок 44).</w:t>
      </w:r>
    </w:p>
    <w:p w:rsidR="00DE0996" w:rsidRDefault="00DE0996" w:rsidP="00DE0996">
      <w:pPr>
        <w:ind w:firstLine="720"/>
        <w:jc w:val="both"/>
        <w:rPr>
          <w:sz w:val="28"/>
          <w:szCs w:val="28"/>
        </w:rPr>
      </w:pPr>
    </w:p>
    <w:p w:rsidR="00DE0996" w:rsidRPr="00FD7777" w:rsidRDefault="00DE0996" w:rsidP="00DE0996">
      <w:pPr>
        <w:ind w:firstLine="720"/>
        <w:jc w:val="center"/>
        <w:rPr>
          <w:b/>
          <w:sz w:val="28"/>
          <w:szCs w:val="28"/>
        </w:rPr>
      </w:pPr>
      <w:r>
        <w:object w:dxaOrig="6013" w:dyaOrig="4827">
          <v:shape id="_x0000_i1038" type="#_x0000_t75" style="width:300.75pt;height:241.5pt" o:ole="">
            <v:imagedata r:id="rId30" o:title=""/>
          </v:shape>
          <o:OLEObject Type="Embed" ProgID="Visio.Drawing.11" ShapeID="_x0000_i1038" DrawAspect="Content" ObjectID="_1704903716" r:id="rId31"/>
        </w:object>
      </w:r>
    </w:p>
    <w:p w:rsidR="00DE0996" w:rsidRDefault="00DE0996" w:rsidP="00DE0996">
      <w:pPr>
        <w:ind w:firstLine="720"/>
        <w:jc w:val="center"/>
        <w:rPr>
          <w:sz w:val="28"/>
          <w:szCs w:val="28"/>
        </w:rPr>
      </w:pPr>
      <w:r>
        <w:rPr>
          <w:sz w:val="28"/>
          <w:szCs w:val="28"/>
        </w:rPr>
        <w:t>Рисунок 44 – Принцип выполнения дифференциально-фазной защиты шин</w:t>
      </w:r>
    </w:p>
    <w:p w:rsidR="00DE0996" w:rsidRDefault="00DE0996" w:rsidP="00DE0996">
      <w:pPr>
        <w:ind w:firstLine="720"/>
        <w:jc w:val="both"/>
        <w:rPr>
          <w:sz w:val="28"/>
          <w:szCs w:val="28"/>
        </w:rPr>
      </w:pPr>
    </w:p>
    <w:p w:rsidR="00DE0996" w:rsidRPr="000B0431" w:rsidRDefault="00DE0996" w:rsidP="00DE0996">
      <w:pPr>
        <w:ind w:firstLine="720"/>
        <w:jc w:val="both"/>
        <w:rPr>
          <w:sz w:val="28"/>
          <w:szCs w:val="28"/>
        </w:rPr>
      </w:pPr>
      <w:r>
        <w:rPr>
          <w:sz w:val="28"/>
          <w:szCs w:val="28"/>
        </w:rPr>
        <w:t xml:space="preserve">Рассмотрим первый режим – </w:t>
      </w:r>
      <w:proofErr w:type="spellStart"/>
      <w:r>
        <w:rPr>
          <w:sz w:val="28"/>
          <w:szCs w:val="28"/>
        </w:rPr>
        <w:t>к.з</w:t>
      </w:r>
      <w:proofErr w:type="spellEnd"/>
      <w:r>
        <w:rPr>
          <w:sz w:val="28"/>
          <w:szCs w:val="28"/>
        </w:rPr>
        <w:t xml:space="preserve">. в зоне защиты (рисунок 45). Первичные токи линий текут в сторону шин – совпадают по фазе (и необязательно по величине – различная нагрузка линий). После выпрямления наибольший из выпрямленных токов запирает остальные выпрямители защиты (в защиту попадает только один ток - наибольший). Этот ток создает прерывистое падение напряжения на резисторе </w:t>
      </w:r>
      <w:r>
        <w:rPr>
          <w:sz w:val="28"/>
          <w:szCs w:val="28"/>
          <w:lang w:val="en-US"/>
        </w:rPr>
        <w:t>R</w:t>
      </w:r>
      <w:r>
        <w:rPr>
          <w:sz w:val="28"/>
          <w:szCs w:val="28"/>
        </w:rPr>
        <w:t xml:space="preserve">, которое подается на инвертор (элемент НЕ). Далее выходное реле </w:t>
      </w:r>
      <w:r>
        <w:rPr>
          <w:sz w:val="28"/>
          <w:szCs w:val="28"/>
          <w:lang w:val="en-US"/>
        </w:rPr>
        <w:t>KL</w:t>
      </w:r>
      <w:r>
        <w:rPr>
          <w:sz w:val="28"/>
          <w:szCs w:val="28"/>
        </w:rPr>
        <w:t xml:space="preserve"> срабатывает при подаче на него импульсов напряжения и защита отключает </w:t>
      </w:r>
      <w:proofErr w:type="spellStart"/>
      <w:r>
        <w:rPr>
          <w:sz w:val="28"/>
          <w:szCs w:val="28"/>
        </w:rPr>
        <w:t>к.з</w:t>
      </w:r>
      <w:proofErr w:type="spellEnd"/>
      <w:r>
        <w:rPr>
          <w:sz w:val="28"/>
          <w:szCs w:val="28"/>
        </w:rPr>
        <w:t>. в зоне защиты.</w:t>
      </w:r>
    </w:p>
    <w:p w:rsidR="00DE0996" w:rsidRPr="000B0431" w:rsidRDefault="00DE0996" w:rsidP="00DE0996">
      <w:pPr>
        <w:ind w:firstLine="720"/>
        <w:jc w:val="both"/>
        <w:rPr>
          <w:sz w:val="28"/>
          <w:szCs w:val="28"/>
        </w:rPr>
      </w:pPr>
      <w:r>
        <w:rPr>
          <w:sz w:val="28"/>
          <w:szCs w:val="28"/>
        </w:rPr>
        <w:t xml:space="preserve">Рассмотрим второй режим – </w:t>
      </w:r>
      <w:proofErr w:type="spellStart"/>
      <w:r>
        <w:rPr>
          <w:sz w:val="28"/>
          <w:szCs w:val="28"/>
        </w:rPr>
        <w:t>к.з</w:t>
      </w:r>
      <w:proofErr w:type="spellEnd"/>
      <w:r>
        <w:rPr>
          <w:sz w:val="28"/>
          <w:szCs w:val="28"/>
        </w:rPr>
        <w:t xml:space="preserve">. вне зоны защиты (рисунок 46). Первичные токи двух линий текут в сторону шин, а третий ток в линию. После выпрямления наибольший из двух выпрямленных токов запирает другой выпрямитель, а третий выпрямитель открывается во втором полупериоде и не запирается двумя другими токами. Эти токи создают непрерывное падение напряжения на резисторе </w:t>
      </w:r>
      <w:r>
        <w:rPr>
          <w:sz w:val="28"/>
          <w:szCs w:val="28"/>
          <w:lang w:val="en-US"/>
        </w:rPr>
        <w:t>R</w:t>
      </w:r>
      <w:r>
        <w:rPr>
          <w:sz w:val="28"/>
          <w:szCs w:val="28"/>
        </w:rPr>
        <w:t>, которое подается на инвертор на выходе которого сигнал отсутствует и защита не срабатывает.</w:t>
      </w:r>
    </w:p>
    <w:p w:rsidR="00DE0996" w:rsidRPr="00FD7777" w:rsidRDefault="00DE0996" w:rsidP="00DE0996">
      <w:pPr>
        <w:ind w:firstLine="720"/>
        <w:jc w:val="center"/>
        <w:rPr>
          <w:b/>
          <w:sz w:val="28"/>
          <w:szCs w:val="28"/>
        </w:rPr>
      </w:pPr>
      <w:r>
        <w:object w:dxaOrig="6754" w:dyaOrig="3841">
          <v:shape id="_x0000_i1039" type="#_x0000_t75" style="width:337.5pt;height:192pt" o:ole="">
            <v:imagedata r:id="rId32" o:title=""/>
          </v:shape>
          <o:OLEObject Type="Embed" ProgID="Visio.Drawing.11" ShapeID="_x0000_i1039" DrawAspect="Content" ObjectID="_1704903717" r:id="rId33"/>
        </w:object>
      </w:r>
    </w:p>
    <w:p w:rsidR="00DE0996" w:rsidRDefault="00DE0996" w:rsidP="00DE0996">
      <w:pPr>
        <w:ind w:firstLine="720"/>
        <w:jc w:val="center"/>
        <w:rPr>
          <w:sz w:val="28"/>
          <w:szCs w:val="28"/>
        </w:rPr>
      </w:pPr>
    </w:p>
    <w:p w:rsidR="00DE0996" w:rsidRDefault="00DE0996" w:rsidP="00DE0996">
      <w:pPr>
        <w:ind w:firstLine="720"/>
        <w:jc w:val="center"/>
        <w:rPr>
          <w:sz w:val="28"/>
          <w:szCs w:val="28"/>
        </w:rPr>
      </w:pPr>
      <w:r>
        <w:rPr>
          <w:sz w:val="28"/>
          <w:szCs w:val="28"/>
        </w:rPr>
        <w:t xml:space="preserve">Рисунок 45 – Диаграммы токов в защите при </w:t>
      </w:r>
      <w:proofErr w:type="spellStart"/>
      <w:r>
        <w:rPr>
          <w:sz w:val="28"/>
          <w:szCs w:val="28"/>
        </w:rPr>
        <w:t>к.з</w:t>
      </w:r>
      <w:proofErr w:type="spellEnd"/>
      <w:r>
        <w:rPr>
          <w:sz w:val="28"/>
          <w:szCs w:val="28"/>
        </w:rPr>
        <w:t>. в зоне защиты</w:t>
      </w:r>
    </w:p>
    <w:p w:rsidR="00DE0996" w:rsidRDefault="00DE0996" w:rsidP="00DE0996">
      <w:pPr>
        <w:ind w:firstLine="720"/>
        <w:jc w:val="both"/>
        <w:rPr>
          <w:sz w:val="28"/>
          <w:szCs w:val="28"/>
        </w:rPr>
      </w:pPr>
    </w:p>
    <w:p w:rsidR="00DE0996" w:rsidRPr="00FD7777" w:rsidRDefault="00DE0996" w:rsidP="00DE0996">
      <w:pPr>
        <w:ind w:firstLine="720"/>
        <w:jc w:val="center"/>
        <w:rPr>
          <w:b/>
          <w:sz w:val="28"/>
          <w:szCs w:val="28"/>
        </w:rPr>
      </w:pPr>
      <w:r>
        <w:object w:dxaOrig="6754" w:dyaOrig="3841">
          <v:shape id="_x0000_i1040" type="#_x0000_t75" style="width:337.5pt;height:192pt" o:ole="">
            <v:imagedata r:id="rId34" o:title=""/>
          </v:shape>
          <o:OLEObject Type="Embed" ProgID="Visio.Drawing.11" ShapeID="_x0000_i1040" DrawAspect="Content" ObjectID="_1704903718" r:id="rId35"/>
        </w:object>
      </w:r>
    </w:p>
    <w:p w:rsidR="00DE0996" w:rsidRDefault="00DE0996" w:rsidP="00DE0996">
      <w:pPr>
        <w:ind w:firstLine="720"/>
        <w:jc w:val="center"/>
        <w:rPr>
          <w:sz w:val="28"/>
          <w:szCs w:val="28"/>
        </w:rPr>
      </w:pPr>
    </w:p>
    <w:p w:rsidR="00DE0996" w:rsidRDefault="00DE0996" w:rsidP="00DE0996">
      <w:pPr>
        <w:ind w:firstLine="720"/>
        <w:jc w:val="center"/>
        <w:rPr>
          <w:sz w:val="28"/>
          <w:szCs w:val="28"/>
        </w:rPr>
      </w:pPr>
      <w:r>
        <w:rPr>
          <w:sz w:val="28"/>
          <w:szCs w:val="28"/>
        </w:rPr>
        <w:t xml:space="preserve">Рисунок 46 – Диаграммы токов в защите при </w:t>
      </w:r>
      <w:proofErr w:type="spellStart"/>
      <w:r>
        <w:rPr>
          <w:sz w:val="28"/>
          <w:szCs w:val="28"/>
        </w:rPr>
        <w:t>к.з</w:t>
      </w:r>
      <w:proofErr w:type="spellEnd"/>
      <w:r>
        <w:rPr>
          <w:sz w:val="28"/>
          <w:szCs w:val="28"/>
        </w:rPr>
        <w:t>. вне зоны защиты</w:t>
      </w:r>
    </w:p>
    <w:p w:rsidR="00DE0996" w:rsidRDefault="00DE0996" w:rsidP="00DE0996">
      <w:pPr>
        <w:ind w:firstLine="720"/>
        <w:jc w:val="both"/>
        <w:rPr>
          <w:sz w:val="28"/>
          <w:szCs w:val="28"/>
        </w:rPr>
      </w:pPr>
    </w:p>
    <w:p w:rsidR="00DE0996" w:rsidRDefault="00DE0996" w:rsidP="00DE0996">
      <w:pPr>
        <w:ind w:firstLine="720"/>
        <w:jc w:val="both"/>
        <w:rPr>
          <w:sz w:val="28"/>
          <w:szCs w:val="28"/>
        </w:rPr>
      </w:pPr>
    </w:p>
    <w:p w:rsidR="00B06E7F" w:rsidRDefault="00B06E7F">
      <w:bookmarkStart w:id="0" w:name="_GoBack"/>
      <w:bookmarkEnd w:id="0"/>
    </w:p>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996"/>
    <w:rsid w:val="00B06E7F"/>
    <w:rsid w:val="00DE09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A03561-96AB-4B61-A611-D5DD2180F6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099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_________Microsoft_Visio_2003_20102.vsd"/><Relationship Id="rId18" Type="http://schemas.openxmlformats.org/officeDocument/2006/relationships/image" Target="media/image8.wmf"/><Relationship Id="rId26" Type="http://schemas.openxmlformats.org/officeDocument/2006/relationships/image" Target="media/image12.wmf"/><Relationship Id="rId21" Type="http://schemas.openxmlformats.org/officeDocument/2006/relationships/oleObject" Target="embeddings/oleObject5.bin"/><Relationship Id="rId34" Type="http://schemas.openxmlformats.org/officeDocument/2006/relationships/image" Target="media/image16.emf"/><Relationship Id="rId7" Type="http://schemas.openxmlformats.org/officeDocument/2006/relationships/oleObject" Target="embeddings/oleObject1.bin"/><Relationship Id="rId12" Type="http://schemas.openxmlformats.org/officeDocument/2006/relationships/image" Target="media/image5.emf"/><Relationship Id="rId17" Type="http://schemas.openxmlformats.org/officeDocument/2006/relationships/oleObject" Target="embeddings/_________Microsoft_Visio_2003_20104.vsd"/><Relationship Id="rId25" Type="http://schemas.openxmlformats.org/officeDocument/2006/relationships/oleObject" Target="embeddings/oleObject6.bin"/><Relationship Id="rId33" Type="http://schemas.openxmlformats.org/officeDocument/2006/relationships/oleObject" Target="embeddings/_________Microsoft_Visio_2003_20108.vsd"/><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image" Target="media/image9.wmf"/><Relationship Id="rId29" Type="http://schemas.openxmlformats.org/officeDocument/2006/relationships/oleObject" Target="embeddings/_________Microsoft_Visio_2003_20106.vsd"/><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3.bin"/><Relationship Id="rId24" Type="http://schemas.openxmlformats.org/officeDocument/2006/relationships/image" Target="media/image11.wmf"/><Relationship Id="rId32" Type="http://schemas.openxmlformats.org/officeDocument/2006/relationships/image" Target="media/image15.emf"/><Relationship Id="rId37" Type="http://schemas.openxmlformats.org/officeDocument/2006/relationships/theme" Target="theme/theme1.xml"/><Relationship Id="rId5" Type="http://schemas.openxmlformats.org/officeDocument/2006/relationships/oleObject" Target="embeddings/_________Microsoft_Visio_2003_20101.vsd"/><Relationship Id="rId15" Type="http://schemas.openxmlformats.org/officeDocument/2006/relationships/oleObject" Target="embeddings/_________Microsoft_Visio_2003_20103.vsd"/><Relationship Id="rId23" Type="http://schemas.openxmlformats.org/officeDocument/2006/relationships/oleObject" Target="embeddings/_________Microsoft_Visio_2003_20105.vsd"/><Relationship Id="rId28" Type="http://schemas.openxmlformats.org/officeDocument/2006/relationships/image" Target="media/image13.emf"/><Relationship Id="rId36" Type="http://schemas.openxmlformats.org/officeDocument/2006/relationships/fontTable" Target="fontTable.xml"/><Relationship Id="rId10" Type="http://schemas.openxmlformats.org/officeDocument/2006/relationships/image" Target="media/image4.wmf"/><Relationship Id="rId19" Type="http://schemas.openxmlformats.org/officeDocument/2006/relationships/oleObject" Target="embeddings/oleObject4.bin"/><Relationship Id="rId31" Type="http://schemas.openxmlformats.org/officeDocument/2006/relationships/oleObject" Target="embeddings/_________Microsoft_Visio_2003_20107.vsd"/><Relationship Id="rId4" Type="http://schemas.openxmlformats.org/officeDocument/2006/relationships/image" Target="media/image1.emf"/><Relationship Id="rId9" Type="http://schemas.openxmlformats.org/officeDocument/2006/relationships/oleObject" Target="embeddings/oleObject2.bin"/><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oleObject" Target="embeddings/oleObject7.bin"/><Relationship Id="rId30" Type="http://schemas.openxmlformats.org/officeDocument/2006/relationships/image" Target="media/image14.emf"/><Relationship Id="rId35" Type="http://schemas.openxmlformats.org/officeDocument/2006/relationships/oleObject" Target="embeddings/_________Microsoft_Visio_2003_20109.vsd"/><Relationship Id="rId8" Type="http://schemas.openxmlformats.org/officeDocument/2006/relationships/image" Target="media/image3.wmf"/><Relationship Id="rId3"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1090</Words>
  <Characters>6215</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2022-01-28T13:35:00Z</dcterms:created>
  <dcterms:modified xsi:type="dcterms:W3CDTF">2022-01-28T13:35:00Z</dcterms:modified>
</cp:coreProperties>
</file>